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F98DF7C" w14:textId="48A6AED4" w:rsidR="006313B6" w:rsidRDefault="00DA6D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DA6DDC">
        <w:rPr>
          <w:rFonts w:ascii="Calibri" w:eastAsia="Calibri" w:hAnsi="Calibri" w:cs="Calibri"/>
          <w:b/>
          <w:bCs/>
          <w:kern w:val="36"/>
        </w:rPr>
        <w:t>ORL vyšetřovací jednotka</w:t>
      </w:r>
      <w:r w:rsidR="00371C44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256E4FF2" w14:textId="13FDAEE3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A6DDC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2023-05-04T09:33:00Z</dcterms:modified>
</cp:coreProperties>
</file>